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3F" w:rsidRPr="00452CD8" w:rsidRDefault="00452CD8" w:rsidP="00452CD8">
      <w:pPr>
        <w:jc w:val="center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452CD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Консультация - </w:t>
      </w:r>
      <w:proofErr w:type="spellStart"/>
      <w:r w:rsidRPr="00452CD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кисәтү</w:t>
      </w:r>
      <w:proofErr w:type="spellEnd"/>
      <w:r w:rsidRPr="00452CD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452CD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метеорологик</w:t>
      </w:r>
      <w:proofErr w:type="spellEnd"/>
      <w:r w:rsidRPr="00452CD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452CD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күренешнең</w:t>
      </w:r>
      <w:proofErr w:type="spellEnd"/>
      <w:r w:rsidRPr="00452CD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452CD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интенсивлыгы</w:t>
      </w:r>
      <w:proofErr w:type="spellEnd"/>
      <w:r w:rsidRPr="00452CD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 </w:t>
      </w:r>
      <w:proofErr w:type="spellStart"/>
      <w:r w:rsidRPr="00452CD8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>турында</w:t>
      </w:r>
      <w:proofErr w:type="spellEnd"/>
    </w:p>
    <w:p w:rsidR="00452CD8" w:rsidRDefault="00452CD8" w:rsidP="00452CD8">
      <w:pPr>
        <w:jc w:val="center"/>
        <w:rPr>
          <w:rFonts w:ascii="Arial" w:hAnsi="Arial" w:cs="Arial"/>
          <w:color w:val="5B5B5B"/>
          <w:shd w:val="clear" w:color="auto" w:fill="F7F8F9"/>
        </w:rPr>
      </w:pP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"УГМС"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Федераль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дәүләт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бюджет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учреждениесе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мәгълүматлары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буенча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gram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»Татарстан</w:t>
      </w:r>
      <w:proofErr w:type="gram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Республикасы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: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16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июньдә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көндез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кич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2022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елның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17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июнендә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төнлә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(12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сәгатьтән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16 июнь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көнне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07.00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кадәр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(17 июнь) Татарстан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Республикасы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территориясендә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шәһәрдә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Казанда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урыны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яшенле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яңгырлар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көчле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яңгырлар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яңгыр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боз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, шквал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җилнең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тизлеге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секундына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15-20 метр,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урыны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секундына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24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метрга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кадәр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Татарстанда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һава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торышы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бозылу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сәбәпле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"Буран" планы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кертелгән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Татарстан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Республикасы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хәтәр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арта: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энергетика комплексы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торак-коммуналь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хуҗалык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объектларында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авария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хәлләрендәге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;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йомшак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ныгытылган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киң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форматлы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төзелеш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оешмаларының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җимерелүе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реклама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конструкцияләре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төшү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иске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агач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;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төзелеш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мәйданнарында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башня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краннары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егылу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;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зарарлану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объектлары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җиһазландырылмаган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объектлар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шул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исәптән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биналар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кешеләр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разрядами атмосфера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электр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(молниями);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юл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-транспорт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һәлакәтләре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;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транспорт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инфраструктурасы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объектларын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түбәнәйтелгән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участокларны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су басу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урам-юл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челтәре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Шулай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гадәттән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тыш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(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һәлакәт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)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ихтималы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да арта.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елга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авиация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транспортында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һава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шартлары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сизелерлек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булырга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мөмкин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республика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территориясендә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аэропортлар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эшен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лимитларга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Югарыда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бәян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ителгәннәргә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бәйле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рәвештә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оператив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начарланганда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киңәш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итәм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гадәттән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тыш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гадәттән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тыш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министрлыгының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ОПБНЫҢ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чираттан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тыш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утырышларын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үткәрүне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башлап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җибәрергә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оператив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чаралар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күрү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мәсьәләсе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буенча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муниципаль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берәмлекләр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башлыклары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киңәшмә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комплекс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гамәлдә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булган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чорда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мөмкин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булган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нәтиҗәләрне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минимальләштерү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начар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метеорологик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күренешләр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алга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таба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карар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кабул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ителү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lastRenderedPageBreak/>
        <w:t>территориаль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ярдәмче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системаның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муниципаль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звенолары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өчен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кертү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турында</w:t>
      </w:r>
      <w:proofErr w:type="spellEnd"/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гадәттән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тыш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хәлләрне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кисәтү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бетерү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режимы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әзерлек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Шулай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киңәш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итәм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: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«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гадәттән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тыш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хәлләрне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кисәтү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бетерү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буенча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бердәм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дәүләт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системасы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турында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» 30.12.2003 ел, № 794 Россия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Федерациясе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Хөкүмәте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Карарының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28 ст. «</w:t>
      </w:r>
      <w:proofErr w:type="spellStart"/>
      <w:proofErr w:type="gram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б»пункты</w:t>
      </w:r>
      <w:proofErr w:type="spellEnd"/>
      <w:proofErr w:type="gram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билгеләнгән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гадәттән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тыш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килеп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чыгу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куркынычын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киметү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буенча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превентив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чаралар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үткәрүне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оештырырга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;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Татарстан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Республикасы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территориясендә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начар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метеорологик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күренешләр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комплексы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гамәлдә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булган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чорда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балаларны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республика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юлларында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йөртүне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ачык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мәйданчыкларда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кешеләр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күп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була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торган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чараларны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хәлне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нормальләштергәнчегә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кадәр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оештырырга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яисә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тыярга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яисә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тыярга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;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гадәттән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тыш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килеп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чыгу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куркынычын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киметү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буенча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кирәкле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превентив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чаралар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үткәрү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балалар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күп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була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торган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учреждениеләр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җитәкчеләренә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шулай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экскурсия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туристик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маршрутларны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оештыручыларга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фаразланган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мәгълүматны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җиткерүгә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аерым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игътибар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итәргә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кирәк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;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энергия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белән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тәэмин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итүнең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резерв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чыганакларының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әзерлеген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тикшерү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;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халыкка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комплекслы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ашыгыч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хәбәр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итү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системасының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әзерлеген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тикшерү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;</w:t>
      </w:r>
    </w:p>
    <w:p w:rsidR="00D87D73" w:rsidRPr="00D87D73" w:rsidRDefault="00D87D73" w:rsidP="00D87D73">
      <w:pPr>
        <w:jc w:val="both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халыкка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мәгълүмат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җиткерү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p w:rsidR="00452CD8" w:rsidRDefault="00D87D73" w:rsidP="00D87D73">
      <w:pPr>
        <w:jc w:val="both"/>
        <w:rPr>
          <w:rFonts w:ascii="Times New Roman" w:hAnsi="Times New Roman" w:cs="Times New Roman"/>
          <w:color w:val="5B5B5B"/>
          <w:sz w:val="28"/>
          <w:szCs w:val="28"/>
          <w:shd w:val="clear" w:color="auto" w:fill="F7F8F9"/>
        </w:rPr>
      </w:pP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Уздырылган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чаралар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,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шулай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ук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гадәттән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тыш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хәлләр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һәм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гражданнар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оборонасы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эшләре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буенча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кабул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ителгән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карарлар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турында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Татарстан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Республикасы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буенча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Россия ГТХМ Баш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идарәсенә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хәбәр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итүегезне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proofErr w:type="spellStart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сорыйм</w:t>
      </w:r>
      <w:proofErr w:type="spellEnd"/>
      <w:r w:rsidRPr="00D87D73">
        <w:rPr>
          <w:rFonts w:ascii="Arial" w:hAnsi="Arial" w:cs="Arial"/>
          <w:color w:val="5B5B5B"/>
          <w:sz w:val="24"/>
          <w:szCs w:val="24"/>
          <w:shd w:val="clear" w:color="auto" w:fill="F7F8F9"/>
        </w:rPr>
        <w:t>.</w:t>
      </w:r>
    </w:p>
    <w:p w:rsidR="00452CD8" w:rsidRDefault="00452CD8" w:rsidP="00452CD8">
      <w:pPr>
        <w:jc w:val="both"/>
        <w:rPr>
          <w:rFonts w:ascii="Times New Roman" w:hAnsi="Times New Roman" w:cs="Times New Roman"/>
          <w:color w:val="5B5B5B"/>
          <w:sz w:val="28"/>
          <w:szCs w:val="28"/>
          <w:shd w:val="clear" w:color="auto" w:fill="F7F8F9"/>
        </w:rPr>
      </w:pPr>
      <w:bookmarkStart w:id="0" w:name="_GoBack"/>
      <w:bookmarkEnd w:id="0"/>
    </w:p>
    <w:p w:rsidR="00452CD8" w:rsidRDefault="00452CD8" w:rsidP="00452CD8">
      <w:pPr>
        <w:jc w:val="both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Баш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идарә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башлыгы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Россия ГТХМ Татарстан</w:t>
      </w:r>
    </w:p>
    <w:p w:rsidR="00452CD8" w:rsidRDefault="00452CD8" w:rsidP="00452CD8">
      <w:pPr>
        <w:jc w:val="both"/>
        <w:rPr>
          <w:rFonts w:ascii="Times New Roman" w:hAnsi="Times New Roman" w:cs="Times New Roman"/>
          <w:color w:val="5B5B5B"/>
          <w:sz w:val="28"/>
          <w:szCs w:val="28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Республикасы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буенча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Эчке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хезмәт</w:t>
      </w:r>
      <w:proofErr w:type="spellEnd"/>
      <w:r>
        <w:rPr>
          <w:rFonts w:ascii="Arial" w:hAnsi="Arial" w:cs="Arial"/>
          <w:color w:val="5B5B5B"/>
          <w:shd w:val="clear" w:color="auto" w:fill="F7F8F9"/>
        </w:rPr>
        <w:t xml:space="preserve"> генерал-лейтенанты                                   Р.З. </w:t>
      </w:r>
      <w:proofErr w:type="spellStart"/>
      <w:r>
        <w:rPr>
          <w:rFonts w:ascii="Arial" w:hAnsi="Arial" w:cs="Arial"/>
          <w:color w:val="5B5B5B"/>
          <w:shd w:val="clear" w:color="auto" w:fill="F7F8F9"/>
        </w:rPr>
        <w:t>Хәбибуллин</w:t>
      </w:r>
      <w:proofErr w:type="spellEnd"/>
    </w:p>
    <w:p w:rsidR="00452CD8" w:rsidRDefault="00452CD8" w:rsidP="00452CD8">
      <w:pPr>
        <w:jc w:val="both"/>
        <w:rPr>
          <w:rFonts w:ascii="Times New Roman" w:hAnsi="Times New Roman" w:cs="Times New Roman"/>
          <w:color w:val="5B5B5B"/>
          <w:sz w:val="28"/>
          <w:szCs w:val="28"/>
          <w:shd w:val="clear" w:color="auto" w:fill="F7F8F9"/>
        </w:rPr>
      </w:pPr>
    </w:p>
    <w:p w:rsidR="00452CD8" w:rsidRPr="00452CD8" w:rsidRDefault="00452CD8" w:rsidP="00452C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CD8" w:rsidRPr="0045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2A"/>
    <w:rsid w:val="00040A2A"/>
    <w:rsid w:val="00452CD8"/>
    <w:rsid w:val="0087543F"/>
    <w:rsid w:val="00D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B6A1A-29DE-490C-9E91-E9CDA7C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2022-05-10T17:33:00Z</dcterms:created>
  <dcterms:modified xsi:type="dcterms:W3CDTF">2022-06-15T10:09:00Z</dcterms:modified>
</cp:coreProperties>
</file>